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CBB2E" w14:textId="4030A65E" w:rsidR="00DB4AFF" w:rsidRDefault="006C5AAC">
      <w:pPr>
        <w:jc w:val="right"/>
      </w:pPr>
      <w:r>
        <w:rPr>
          <w:noProof/>
        </w:rPr>
        <w:drawing>
          <wp:inline distT="0" distB="0" distL="0" distR="0" wp14:anchorId="2421A5D7" wp14:editId="4FFD36EB">
            <wp:extent cx="3171825" cy="12668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71825" cy="1266825"/>
                    </a:xfrm>
                    <a:prstGeom prst="rect">
                      <a:avLst/>
                    </a:prstGeom>
                    <a:noFill/>
                    <a:ln>
                      <a:noFill/>
                    </a:ln>
                  </pic:spPr>
                </pic:pic>
              </a:graphicData>
            </a:graphic>
          </wp:inline>
        </w:drawing>
      </w:r>
    </w:p>
    <w:tbl>
      <w:tblPr>
        <w:tblStyle w:val="FullWidthBox"/>
        <w:tblW w:w="0" w:type="auto"/>
        <w:tblInd w:w="80" w:type="dxa"/>
        <w:tblLook w:val="04A0" w:firstRow="1" w:lastRow="0" w:firstColumn="1" w:lastColumn="0" w:noHBand="0" w:noVBand="1"/>
      </w:tblPr>
      <w:tblGrid>
        <w:gridCol w:w="8929"/>
      </w:tblGrid>
      <w:tr w:rsidR="00DB4AFF" w14:paraId="0B233D80" w14:textId="77777777">
        <w:tc>
          <w:tcPr>
            <w:tcW w:w="9025" w:type="dxa"/>
          </w:tcPr>
          <w:p w14:paraId="6745847D" w14:textId="77777777" w:rsidR="00DB4AFF" w:rsidRDefault="006C5AAC">
            <w:pPr>
              <w:jc w:val="center"/>
            </w:pPr>
            <w:r>
              <w:rPr>
                <w:b/>
                <w:bCs/>
                <w:sz w:val="22"/>
                <w:szCs w:val="22"/>
              </w:rPr>
              <w:t>ANEXO II</w:t>
            </w:r>
          </w:p>
          <w:p w14:paraId="70F892C3" w14:textId="77777777" w:rsidR="00DB4AFF" w:rsidRDefault="006C5AAC">
            <w:pPr>
              <w:jc w:val="center"/>
            </w:pPr>
            <w:r>
              <w:rPr>
                <w:b/>
                <w:bCs/>
                <w:sz w:val="22"/>
                <w:szCs w:val="22"/>
                <w:u w:val="single"/>
              </w:rPr>
              <w:t>PLIEGO DE BASES Y CONDICIONES PARTICULARES</w:t>
            </w:r>
          </w:p>
        </w:tc>
      </w:tr>
    </w:tbl>
    <w:p w14:paraId="61FB1850" w14:textId="77777777" w:rsidR="00DB4AFF" w:rsidRDefault="006C5AAC">
      <w:r>
        <w:br/>
      </w:r>
      <w:r>
        <w:rPr>
          <w:b/>
          <w:bCs/>
          <w:color w:val="000000"/>
          <w:sz w:val="22"/>
          <w:szCs w:val="22"/>
        </w:rPr>
        <w:t>ARTÍCULO 1º: OBJETO DE LA CONTRATACIÓN</w:t>
      </w:r>
      <w:r>
        <w:br/>
      </w:r>
      <w:r>
        <w:rPr>
          <w:b/>
          <w:bCs/>
          <w:color w:val="000000"/>
        </w:rPr>
        <w:t>Procedimiento Abreviado</w:t>
      </w:r>
      <w:r>
        <w:rPr>
          <w:color w:val="000000"/>
        </w:rPr>
        <w:t>- 4/2027 tiene por objeto la adquisición/contratación de: DESCARTABLES ESTERILIZACION, con destino a HOSPITAL ZONAL ESPECIALIZADO AGUDOS Y CRONICOS DR. CETRANGOLO por el término de 180 días, sin opción a prórroga y con opción a ampliación de hasta el 100%, conforme al presente Pliego de Bases y Condiciones Particulares, Especificaciones Técnicas y Anexos, y las Cláusulas del Pliego de Bases y Condiciones Generales para la Contratación de Bienes y Servicios aprobado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ARTÍCULO 3º: MANTENIMIENTO DE LA OFERTA. PRÓRROGA</w:t>
      </w:r>
      <w:r>
        <w:rPr>
          <w:color w:val="000000"/>
        </w:rPr>
        <w:t xml:space="preserve">Los oferentes deberán mantener y garantizar los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mínima de diez (10) días anteriores al vencimiento del plazo, conforme el artículo 17, apartado 4 del decreto reglamentario N°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ARTÍCULO 4º: CONSULTA Y RETIRO DEL PLIEGO</w:t>
      </w:r>
      <w:r>
        <w:rPr>
          <w:color w:val="000000"/>
        </w:rPr>
        <w:t>Los interesados podrán consultar y adquirir en forma gratuita un ejemplar del Pliego de Bases y Condiciones en el sitio web de la Provincia de Buenos Aires, en las siguientes páginas:</w:t>
      </w:r>
    </w:p>
    <w:p w14:paraId="78E09378" w14:textId="77777777" w:rsidR="00DB4AFF" w:rsidRDefault="005C2237">
      <w:hyperlink r:id="rId5" w:history="1">
        <w:r w:rsidR="006C5AAC">
          <w:rPr>
            <w:color w:val="0000FF"/>
            <w:u w:val="single"/>
          </w:rPr>
          <w:t>https://sistemas.ms.gba.gov.ar/LicitacionesyContrataciones/listadoPublicacion.php</w:t>
        </w:r>
      </w:hyperlink>
    </w:p>
    <w:p w14:paraId="5A865DB3" w14:textId="77777777" w:rsidR="00DB4AFF" w:rsidRDefault="005C2237">
      <w:hyperlink r:id="rId6" w:history="1">
        <w:r w:rsidR="006C5AAC">
          <w:rPr>
            <w:color w:val="0000FF"/>
            <w:u w:val="single"/>
          </w:rPr>
          <w:t>https://pbac.cgp.gba.gov.ar</w:t>
        </w:r>
      </w:hyperlink>
    </w:p>
    <w:p w14:paraId="6FC586A6" w14:textId="4E1AD333" w:rsidR="00DB4AFF" w:rsidRDefault="006C5AAC">
      <w:r>
        <w:rPr>
          <w:color w:val="000000"/>
        </w:rPr>
        <w:t xml:space="preserve">Asimismo, podrá retirarse un ejemplar en la Oficina de Compras o la que indique HOSPITAL ZONAL ESPECIALIZADO AGUDOS Y CRONICOS DR. CETRANGOLO, sito en la calle ITALIA Nro. 1750   de la ciudad de FLORIDA                                                                                              en el horario de </w:t>
      </w:r>
      <w:r w:rsidR="00762C2E" w:rsidRPr="006C5AAC">
        <w:lastRenderedPageBreak/>
        <w:t>8 a 13hs</w:t>
      </w:r>
      <w:r>
        <w:rPr>
          <w:color w:val="000000"/>
        </w:rPr>
        <w:t xml:space="preserve">, hasta el día hábil anterior, inclusive, al fijado para la apertura de sobres. O solicitarse vía e_mail a la casilla </w:t>
      </w:r>
      <w:r w:rsidR="00762C2E" w:rsidRPr="006C5AAC">
        <w:t>hcetrangolo</w:t>
      </w:r>
      <w:r>
        <w:rPr>
          <w:color w:val="000000"/>
        </w:rPr>
        <w:t>@proveedoresba.cgp.gba.gov.ar</w:t>
      </w:r>
    </w:p>
    <w:p w14:paraId="07CB7A5B" w14:textId="682836FA" w:rsidR="00DB4AFF" w:rsidRDefault="006C5AAC">
      <w:pPr>
        <w:rPr>
          <w:color w:val="000000"/>
        </w:rPr>
      </w:pPr>
      <w:r>
        <w:br/>
      </w:r>
      <w:r>
        <w:rPr>
          <w:b/>
          <w:bCs/>
          <w:color w:val="000000"/>
          <w:sz w:val="22"/>
          <w:szCs w:val="22"/>
        </w:rPr>
        <w:t>ARTÍCULO 5º: CONSULTAS Y ACLARACIONES</w:t>
      </w:r>
      <w:r>
        <w:br/>
      </w:r>
      <w:r>
        <w:rPr>
          <w:color w:val="000000"/>
        </w:rPr>
        <w:t>Las consultas relacionadas con el proceso licitatorio se realizarán ante la oficina de compras del HOSPITAL ZONAL ESPECIALIZADO AGUDOS Y CRONICOS DR. CETRANGOLO, o a través de su casilla de e-mail</w:t>
      </w:r>
      <w:r w:rsidRPr="00762C2E">
        <w:t>:</w:t>
      </w:r>
      <w:r w:rsidR="00466DE5">
        <w:t xml:space="preserve"> </w:t>
      </w:r>
      <w:r w:rsidR="00762C2E" w:rsidRPr="00762C2E">
        <w:t>hcetrangolo</w:t>
      </w:r>
      <w:r>
        <w:rPr>
          <w:color w:val="000000"/>
        </w:rPr>
        <w:t>@proveedoresba.cgp.pba.gov.ar, hasta tres (3) días hábiles anteriores a la fecha de apertura de ofertas. A los efectos del cómputo del plazo o se tendrá en cuenta el día de la apertura de ofertas.</w:t>
      </w:r>
      <w:r>
        <w:br/>
      </w:r>
      <w:r>
        <w:rPr>
          <w:color w:val="000000"/>
        </w:rPr>
        <w:t xml:space="preserve">La </w:t>
      </w:r>
      <w:r w:rsidR="00762C2E">
        <w:rPr>
          <w:color w:val="000000"/>
        </w:rPr>
        <w:t>repartición</w:t>
      </w:r>
      <w:r>
        <w:rPr>
          <w:color w:val="000000"/>
        </w:rPr>
        <w:t xml:space="preserve">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intimaciones, así como cualquier tipo de comunicaciones que efectúe la autoridad administrativa en el marco de la Ley N° 13.981 y los artículos 12 y 13, apartado 3 del Anexo I del DECTO-2019-59-GDEBA-GPBA,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las obligaciones fiscales (Formulario A-404 W2 aprobado por Resolución Normativa 55/2020-ARBA (artículo 37, Ley N° 11.904) de la Agencia de Recaudación de la Provincia de Buenos Aires.</w:t>
      </w:r>
      <w:r>
        <w:br/>
      </w:r>
      <w:r>
        <w:rPr>
          <w:color w:val="000000"/>
        </w:rPr>
        <w:t>Los sujetos interesados en presentarse a las contrataciones con el Estado Provincial podrán solicitar a través del sitio oficial de esta Agencia de Recaudación (www.arba.gov.ar), al cual deberán acceder mediante el uso de su Clave Única de Identificación Tributaria (CUIT) y Clave de Identificación Tributaria (CIT), el formulario electrónico A-404 W2.</w:t>
      </w:r>
      <w:r>
        <w:br/>
      </w:r>
      <w:r>
        <w:br/>
      </w:r>
      <w:r>
        <w:rPr>
          <w:color w:val="000000"/>
        </w:rPr>
        <w:t>B) Presentar el Certificado de Libre de Deuda, cumplimentando así las exigencias previstas por la Ley N° 13.074 y Decreto N° 340/04 en forma previa al dictado del acto administrativo de adjudicación por parte de la autoridad competente(Certificado de Libre de Deuda Registrada).</w:t>
      </w:r>
      <w:r>
        <w:br/>
      </w:r>
      <w:r>
        <w:br/>
      </w:r>
      <w:r>
        <w:rPr>
          <w:b/>
          <w:bCs/>
          <w:color w:val="000000"/>
        </w:rPr>
        <w:t>(NO CONTAR CON DICHA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br/>
      </w:r>
      <w:r>
        <w:br/>
      </w:r>
      <w:r>
        <w:rPr>
          <w:b/>
          <w:bCs/>
          <w:color w:val="000000"/>
        </w:rPr>
        <w:t xml:space="preserve">Organismo contratante: </w:t>
      </w:r>
      <w:r>
        <w:rPr>
          <w:color w:val="000000"/>
        </w:rPr>
        <w:t>HOSPITAL ZONAL ESPECIALIZADO AGUDOS Y CRONICOS DR. CETRANGOLO</w:t>
      </w:r>
      <w:r>
        <w:br/>
      </w:r>
      <w:r>
        <w:rPr>
          <w:b/>
          <w:bCs/>
          <w:color w:val="000000"/>
        </w:rPr>
        <w:t xml:space="preserve">Dirección: </w:t>
      </w:r>
      <w:r>
        <w:rPr>
          <w:color w:val="000000"/>
        </w:rPr>
        <w:t xml:space="preserve">ITALIA Nro. 1750   - FLORIDA                                                                                             </w:t>
      </w:r>
      <w:r>
        <w:br/>
      </w:r>
      <w:r>
        <w:rPr>
          <w:b/>
          <w:bCs/>
          <w:color w:val="000000"/>
        </w:rPr>
        <w:t xml:space="preserve">Nro.Expediente: </w:t>
      </w:r>
      <w:r>
        <w:rPr>
          <w:color w:val="000000"/>
        </w:rPr>
        <w:t>EX-2026-31646702- -GDEBA-HZEACDAACMSALGP</w:t>
      </w:r>
      <w:r>
        <w:br/>
      </w:r>
      <w:r>
        <w:rPr>
          <w:b/>
          <w:bCs/>
          <w:color w:val="000000"/>
        </w:rPr>
        <w:t xml:space="preserve">Tipo y Nro. que identifica la contratación: </w:t>
      </w:r>
      <w:r>
        <w:rPr>
          <w:color w:val="000000"/>
        </w:rPr>
        <w:t>Procedimiento Abreviado - 4/2027</w:t>
      </w:r>
      <w:r>
        <w:br/>
      </w:r>
      <w:r>
        <w:rPr>
          <w:b/>
          <w:bCs/>
          <w:color w:val="000000"/>
        </w:rPr>
        <w:t xml:space="preserve">Fecha y hora de apertura: </w:t>
      </w:r>
      <w:r>
        <w:rPr>
          <w:color w:val="000000"/>
        </w:rPr>
        <w:t>20-10-2026 a las 10:00hs.</w:t>
      </w:r>
      <w:r>
        <w:br/>
      </w:r>
      <w:r>
        <w:lastRenderedPageBreak/>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debidamente salvadas.</w:t>
      </w:r>
      <w:r>
        <w:br/>
      </w:r>
      <w:r>
        <w:rPr>
          <w:color w:val="000000"/>
        </w:rPr>
        <w:t>La presentación de la oferta implica el conocimiento y aceptación, así como el sometimiento voluntario y sin reservas, a los Pliegos de Bases y/o Condiciones Generales y Particulares, a las disposiciones de la Ley N°13.981, la Resolución Nº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Condiciones Generales y/o Particulares no se hubiera acompañado.</w:t>
      </w:r>
      <w:r>
        <w:br/>
      </w:r>
      <w:r>
        <w:br/>
      </w:r>
      <w:r>
        <w:rPr>
          <w:b/>
          <w:bCs/>
          <w:color w:val="000000"/>
          <w:sz w:val="22"/>
          <w:szCs w:val="22"/>
        </w:rPr>
        <w:t>8.1. CLÁUSULA ANTICORRUPCIÓN</w:t>
      </w:r>
      <w:r>
        <w:br/>
      </w:r>
      <w:r>
        <w:rPr>
          <w:color w:val="000000"/>
        </w:rPr>
        <w:t>Será causal determinante del rechazo de la oferta, en cualquier estado del procedimiento de contratación; así como causal de rescisión de pleno derecho del contrato, 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real, legal que se fije en la Provincia de Buenos Aires y electrónico del 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o la constancia de haber iniciado el trámite.</w:t>
      </w:r>
      <w:r>
        <w:br/>
      </w:r>
      <w:r>
        <w:rPr>
          <w:color w:val="000000"/>
        </w:rPr>
        <w:t xml:space="preserve">9.3. </w:t>
      </w:r>
      <w:r>
        <w:rPr>
          <w:b/>
          <w:bCs/>
          <w:color w:val="000000"/>
        </w:rPr>
        <w:t xml:space="preserve">La oferta económica </w:t>
      </w:r>
      <w:r>
        <w:rPr>
          <w:color w:val="000000"/>
        </w:rPr>
        <w:t>(Anexo IV - Planilla de cotización</w:t>
      </w:r>
      <w:proofErr w:type="gramStart"/>
      <w:r>
        <w:rPr>
          <w:color w:val="000000"/>
        </w:rPr>
        <w:t>),que</w:t>
      </w:r>
      <w:proofErr w:type="gramEnd"/>
      <w:r>
        <w:rPr>
          <w:color w:val="000000"/>
        </w:rPr>
        <w:t xml:space="preserve"> debe especificar el precio unitario con dos (2) decimales,el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la propuesta, si hubiere </w:t>
      </w:r>
      <w:proofErr w:type="gramStart"/>
      <w:r>
        <w:rPr>
          <w:color w:val="000000"/>
        </w:rPr>
        <w:t>discordancia(</w:t>
      </w:r>
      <w:proofErr w:type="gramEnd"/>
      <w:r>
        <w:rPr>
          <w:color w:val="000000"/>
        </w:rPr>
        <w:t>Art. 17, apartado 4 del DECTO-2019-59-GDEBA-GPBA).</w:t>
      </w:r>
      <w:r>
        <w:br/>
      </w:r>
      <w:r>
        <w:rPr>
          <w:color w:val="000000"/>
        </w:rPr>
        <w:t xml:space="preserve">9.4. Indicación del origen de los productos (producto nacional o extranjero). si no se indica, resulta inaplicable todo beneficio relativo al </w:t>
      </w:r>
      <w:r>
        <w:rPr>
          <w:b/>
          <w:bCs/>
          <w:color w:val="000000"/>
        </w:rPr>
        <w:t xml:space="preserve">origen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9.6. Si se adquieren elementos a instalar y recibir 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corresponda (Ver artículos 17 y 18)</w:t>
      </w:r>
      <w:r>
        <w:br/>
      </w:r>
      <w:r>
        <w:rPr>
          <w:color w:val="000000"/>
        </w:rPr>
        <w:t xml:space="preserve">10.2. </w:t>
      </w:r>
      <w:r>
        <w:rPr>
          <w:b/>
          <w:bCs/>
          <w:color w:val="000000"/>
        </w:rPr>
        <w:t xml:space="preserve">Descripción del bien o servicio </w:t>
      </w:r>
      <w:r>
        <w:rPr>
          <w:color w:val="000000"/>
        </w:rPr>
        <w:t xml:space="preserve">y el catálogo en su caso; indicar marca y modelo de </w:t>
      </w:r>
      <w:r>
        <w:rPr>
          <w:color w:val="000000"/>
        </w:rPr>
        <w:lastRenderedPageBreak/>
        <w:t>corresponder</w:t>
      </w:r>
      <w:r>
        <w:br/>
      </w:r>
      <w:r>
        <w:rPr>
          <w:color w:val="000000"/>
        </w:rPr>
        <w:t xml:space="preserve">10.3. </w:t>
      </w:r>
      <w:r>
        <w:rPr>
          <w:b/>
          <w:bCs/>
          <w:color w:val="000000"/>
        </w:rPr>
        <w:t xml:space="preserve">Certificado de deudores morosos. </w:t>
      </w:r>
      <w:r>
        <w:rPr>
          <w:color w:val="000000"/>
        </w:rPr>
        <w:t>Ley N° 13.074 y Decreto 340/04 vigente y emitido por el Ministerio de Justicia y 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 xml:space="preserve">Documentación que acredite el número de sucursal y de cuenta corriente o de caja de </w:t>
      </w:r>
      <w:proofErr w:type="gramStart"/>
      <w:r>
        <w:rPr>
          <w:color w:val="000000"/>
        </w:rPr>
        <w:t>ahorro(</w:t>
      </w:r>
      <w:proofErr w:type="gramEnd"/>
      <w:r>
        <w:rPr>
          <w:color w:val="000000"/>
        </w:rPr>
        <w:t>Banco de la Provincia de Buenos Aires), de la cual fueren titulares los responsables de las firmas oferentes.</w:t>
      </w:r>
      <w:r>
        <w:br/>
      </w:r>
      <w:r>
        <w:rPr>
          <w:color w:val="000000"/>
        </w:rPr>
        <w:t xml:space="preserve">10.6. </w:t>
      </w:r>
      <w:r>
        <w:rPr>
          <w:b/>
          <w:bCs/>
          <w:color w:val="000000"/>
        </w:rPr>
        <w:t>Constancia de Inscripción emitida por la Administración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constancia de inicio de trámite a la fecha de apertura. En el último caso, el oferente deberá encontrarse inscripto como proveedor en el rubro correspondiente al objeto de la contratación.</w:t>
      </w:r>
      <w:r>
        <w:br/>
      </w:r>
      <w:r>
        <w:rPr>
          <w:color w:val="000000"/>
        </w:rPr>
        <w:t>En ambos casos se deberá contar con credencial vigente en forma previa a 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 xml:space="preserve">cuando corresponda. Presentarse el día </w:t>
      </w:r>
      <w:r>
        <w:rPr>
          <w:b/>
          <w:bCs/>
          <w:color w:val="FF0000"/>
        </w:rPr>
        <w:t>(fecha)</w:t>
      </w:r>
      <w:r>
        <w:rPr>
          <w:color w:val="000000"/>
        </w:rPr>
        <w:t xml:space="preserve"> a las </w:t>
      </w:r>
      <w:r>
        <w:rPr>
          <w:b/>
          <w:bCs/>
          <w:color w:val="FF0000"/>
        </w:rPr>
        <w:t xml:space="preserve">(hora) </w:t>
      </w:r>
      <w:r>
        <w:rPr>
          <w:color w:val="000000"/>
        </w:rPr>
        <w:t>en HOSPITAL ZONAL ESPECIALIZADO AGUDOS Y CRONICOS DR. CETRANGOLO. La omisión de la presentación de este requisito será causal de rechazo de la oferta. Este párrafo tendrá validez si el detalle del lugar y el horario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reemplaza la facultad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w:t>
      </w:r>
      <w:proofErr w:type="gramStart"/>
      <w:r>
        <w:rPr>
          <w:b/>
          <w:bCs/>
          <w:color w:val="000000"/>
        </w:rPr>
        <w:t xml:space="preserve">pliego </w:t>
      </w:r>
      <w:r>
        <w:rPr>
          <w:color w:val="000000"/>
        </w:rPr>
        <w:t>,</w:t>
      </w:r>
      <w:proofErr w:type="gramEnd"/>
      <w:r>
        <w:rPr>
          <w:color w:val="000000"/>
        </w:rPr>
        <w:t xml:space="preserve">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OFERTAS</w:t>
      </w:r>
      <w:r>
        <w:br/>
      </w:r>
      <w:r>
        <w:rPr>
          <w:color w:val="000000"/>
        </w:rPr>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lastRenderedPageBreak/>
        <w:t>Ninguna oferta puede ser desestimada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a) La insuficiencia de la garantía de mantenimiento de oferta: hasta un diez porciento (10%).</w:t>
      </w:r>
      <w:r>
        <w:br/>
      </w:r>
      <w:r>
        <w:rPr>
          <w:color w:val="000000"/>
        </w:rPr>
        <w:t>b) Las omisiones insustanciales, debiendo la Comisión de Preadjudicación requerir a los oferentes las aclaraciones que sean necesarias a fin de subsanar deficiencias, siempre que ello no contravenga los principios generales establecidos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Cuando la cotización se efectúe en moneda extranjera, a los efectos de la comparación de precios, se convertirá en base al tipo de cambio vendedor, vigente en el Banco de la Nación Argentina al día anterior al de la apertura de sobres.</w:t>
      </w:r>
      <w:r>
        <w:br/>
      </w:r>
      <w:r>
        <w:rPr>
          <w:color w:val="000000"/>
        </w:rPr>
        <w:t>13.1 COMISIÓN ASESORA DE PREADJUDICACIÓN</w:t>
      </w:r>
      <w:r>
        <w:br/>
      </w:r>
      <w:r>
        <w:rPr>
          <w:color w:val="000000"/>
        </w:rPr>
        <w:t>La evaluación de las ofertas estará a cargo de la Comisión de Preadjudicación, cuya integración será determinada por el funcionario competente para emitir el acto administrativo de autorización del llamado. La misma estará integrada por 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 la autorización y aprobación de las contrataciones.</w:t>
      </w:r>
      <w:r>
        <w:br/>
      </w:r>
      <w:r>
        <w:rPr>
          <w:color w:val="000000"/>
        </w:rPr>
        <w:t>El dictamen de la Comisión de Preadjudicación incluirá el examen de cumplimiento de los requisitos exigidos por la Ley 13.981, su decreto reglamentario y los respectivos pliegos, la aptitud de los oferentes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empate, si existieran.</w:t>
      </w:r>
      <w:r>
        <w:br/>
      </w:r>
      <w:r>
        <w:rPr>
          <w:color w:val="000000"/>
        </w:rPr>
        <w:t>6) Recomendación de la/s oferta/s más conveniente/s a los intereses de este Ministerio.</w:t>
      </w:r>
      <w:r>
        <w:br/>
      </w:r>
      <w:r>
        <w:rPr>
          <w:color w:val="000000"/>
        </w:rPr>
        <w:t>La Preadjudicación puede hacerse por el total ofertado o por renglón.</w:t>
      </w:r>
      <w:r>
        <w:br/>
      </w:r>
      <w:r>
        <w:rPr>
          <w:color w:val="000000"/>
        </w:rPr>
        <w:t>El dictamen adopta la forma de acta de la reunión de los miembros y puede incluir disidencias.</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cursada a los oferentes. Si no se cumpliera el plazo establecido, la Comisión deberá justificar en forma fundada los motivos de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será conectada con otros criterios tales como idoneidad técnica del oferente, cualidades del objeto, solución financiera, forma de realización </w:t>
      </w:r>
      <w:r>
        <w:rPr>
          <w:color w:val="000000"/>
        </w:rPr>
        <w:lastRenderedPageBreak/>
        <w:t>del servicio, plazos de entrega y todo otro criterio cuantitativo y cualitativo que permita la elección de la oferta más conveniente entre aquellas que se ajustaren a las bases y condiciones de la licitación.</w:t>
      </w:r>
      <w:r>
        <w:br/>
      </w:r>
      <w:r>
        <w:rPr>
          <w:color w:val="000000"/>
        </w:rPr>
        <w:t>Las propuestas de personas físicas o jurídicas que participen con más de una oferta dentro de una misma contratación, serán eliminadas del concurso, ya sea que 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 o monto global, según corresponda) no sea superior al dos porciento (2%).</w:t>
      </w:r>
      <w:r>
        <w:br/>
      </w:r>
      <w:r>
        <w:rPr>
          <w:color w:val="000000"/>
        </w:rPr>
        <w:t>En este caso, la preadjudicación corresponde a la propuesta que ofrezca mayor cantidad de elementos de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r>
        <w:br/>
      </w:r>
      <w:r>
        <w:rPr>
          <w:color w:val="000000"/>
        </w:rPr>
        <w:t>De mantenerse el empate, se analizará la posibilidad de adjudicar en base a otras ventajas como: mayor cantidad de criterios sustentables incorporados a la oferta, mayor cantidad de elementos de mejor calidad o características diferenciales similares.</w:t>
      </w:r>
      <w:r>
        <w:br/>
      </w:r>
      <w:r>
        <w:rPr>
          <w:color w:val="000000"/>
        </w:rPr>
        <w:t xml:space="preserve">Si ninguno de estos criterios resultara de </w:t>
      </w:r>
      <w:proofErr w:type="gramStart"/>
      <w:r>
        <w:rPr>
          <w:color w:val="000000"/>
        </w:rPr>
        <w:t>aplicación,se</w:t>
      </w:r>
      <w:proofErr w:type="gramEnd"/>
      <w:r>
        <w:rPr>
          <w:color w:val="000000"/>
        </w:rPr>
        <w:t xml:space="preserve"> preadjudicará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desempate (esto es: i) constatación de mayor cantidad de elementos de origen nacional, ii) pedido de mejora de precios, iii)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br/>
      </w:r>
      <w:r>
        <w:rPr>
          <w:color w:val="000000"/>
        </w:rPr>
        <w:t>13.4 MEJORA DE OFERTA:</w:t>
      </w:r>
      <w:r>
        <w:br/>
      </w:r>
      <w:r>
        <w:rPr>
          <w:color w:val="000000"/>
        </w:rPr>
        <w:t>Cuando se considere que el precio de la mejor oferta presentada resulta excesivo con relación almonto estimado de la contratación, podrá solicitarse una mejora a los fines de conseguir la oferta más conveniente a los intereses fiscales. Ante la negativa a mejorar el precio, la Comisión de Preadjudicación aconsejará proseguir con la preadjudicación o declarar la inconveniencia de todas las propuestas, exponiendo los fundamentos de su dictamen.</w:t>
      </w:r>
      <w:r>
        <w:br/>
      </w:r>
      <w:r>
        <w:br/>
      </w:r>
      <w:r>
        <w:rPr>
          <w:b/>
          <w:bCs/>
          <w:color w:val="000000"/>
          <w:sz w:val="22"/>
          <w:szCs w:val="22"/>
        </w:rPr>
        <w:t>ARTÍCULO 14º: NOTIFICACIÓN DE LA PREADJUDICACIÓN</w:t>
      </w:r>
      <w:r>
        <w:br/>
      </w:r>
      <w:r>
        <w:rPr>
          <w:color w:val="000000"/>
        </w:rPr>
        <w:t>El dictamen de preadjudicación se notifica a los oferentes, haciéndose saber el derecho a tomar vista de las actuaciones y a formular impugnaciones dentro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Comisión de Preadjudicación, el que no se sustancia.</w:t>
      </w:r>
      <w:r>
        <w:br/>
      </w:r>
      <w:r>
        <w:br/>
      </w:r>
      <w:r>
        <w:rPr>
          <w:b/>
          <w:bCs/>
          <w:color w:val="000000"/>
          <w:sz w:val="22"/>
          <w:szCs w:val="22"/>
        </w:rPr>
        <w:t>14.1. IMPUGNACIÓN Y GARANTÍAS</w:t>
      </w:r>
      <w:r>
        <w:br/>
      </w:r>
      <w:r>
        <w:rPr>
          <w:color w:val="000000"/>
        </w:rPr>
        <w:t>De impugnación al Pliego de Bases y Condiciones Particulares: para poder impugnar el Pliego de Bases y Condiciones Particulares, se requiere presentar garantía por el tres porciento (3%) del presupuesto oficial o monto estimado de la compra.</w:t>
      </w:r>
      <w:r>
        <w:br/>
      </w:r>
      <w:r>
        <w:rPr>
          <w:color w:val="000000"/>
        </w:rPr>
        <w:t>De impugnación a la preadjudicación de las ofertas: para poder impugnar, se requiere presentar garantía por el cinco porciento (5%) del monto de la oferta del renglón o los renglones impugnados.</w:t>
      </w:r>
      <w:r>
        <w:br/>
      </w:r>
      <w:r>
        <w:rPr>
          <w:color w:val="000000"/>
        </w:rPr>
        <w:t>Si el dictamente de Preadjudicación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ADJUDICACIÓN</w:t>
      </w:r>
      <w:r>
        <w:br/>
      </w:r>
      <w:r>
        <w:rPr>
          <w:color w:val="000000"/>
        </w:rPr>
        <w:t xml:space="preserve">La adjudicación se realizará conforme lo establecido en el Pliego de Bases y Condiciones Generales, aprobado por RESOL-2019-76-GDEBA-CGP, cuyo artículo 22 reza: </w:t>
      </w:r>
      <w:r>
        <w:rPr>
          <w:i/>
          <w:iCs/>
          <w:color w:val="000000"/>
        </w:rPr>
        <w:t xml:space="preserve">“La adjudicación debe realizarse a favor de la oferta más conveniente, teniendo en cuenta para ello el precio, la calidad, la idoneidad del oferente, los costos asociados de uso y mantenimiento presentes y futuros y demás condiciones </w:t>
      </w:r>
      <w:r>
        <w:rPr>
          <w:i/>
          <w:iCs/>
          <w:color w:val="000000"/>
        </w:rPr>
        <w:lastRenderedPageBreak/>
        <w:t>de la oferta”</w:t>
      </w:r>
      <w:r>
        <w:br/>
      </w:r>
      <w:r>
        <w:rPr>
          <w:color w:val="000000"/>
        </w:rPr>
        <w:t>Puede adjudicarse aun cuando se haya presentado una sola oferta.</w:t>
      </w:r>
      <w:r>
        <w:br/>
      </w:r>
      <w:r>
        <w:rPr>
          <w:color w:val="000000"/>
        </w:rPr>
        <w:t>El organismo contratante puede 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br/>
      </w:r>
      <w:r>
        <w:br/>
      </w:r>
      <w:r>
        <w:rPr>
          <w:b/>
          <w:bCs/>
          <w:color w:val="000000"/>
          <w:sz w:val="22"/>
          <w:szCs w:val="22"/>
        </w:rPr>
        <w:t>ARTÍCULO 16º: LUGAR, FORMA Y PLAZO DE ENTREGA</w:t>
      </w:r>
      <w:r>
        <w:br/>
      </w:r>
      <w:r>
        <w:rPr>
          <w:color w:val="000000"/>
        </w:rPr>
        <w:t xml:space="preserve">El proveedor deberá cumplimentar la entrega de los elementos solicitados en </w:t>
      </w:r>
      <w:r w:rsidR="00762C2E">
        <w:rPr>
          <w:color w:val="000000"/>
        </w:rPr>
        <w:t>FARMACIA</w:t>
      </w:r>
      <w:r>
        <w:rPr>
          <w:color w:val="000000"/>
        </w:rPr>
        <w:t xml:space="preserve"> del HOSPITAL ZONAL ESPECIALIZADO AGUDOS Y CRONICOS DR. CETRANGOLO; en horario </w:t>
      </w:r>
      <w:r w:rsidR="00762C2E" w:rsidRPr="00762C2E">
        <w:t>8 a 12hs</w:t>
      </w:r>
      <w:r>
        <w:br/>
      </w:r>
      <w:r>
        <w:rPr>
          <w:b/>
          <w:bCs/>
          <w:color w:val="000000"/>
        </w:rPr>
        <w:t xml:space="preserve">La forma de entrega es </w:t>
      </w:r>
      <w:r>
        <w:rPr>
          <w:color w:val="000000"/>
        </w:rPr>
        <w:t>INMEDIATO</w:t>
      </w:r>
      <w:r>
        <w:br/>
      </w:r>
      <w:r>
        <w:rPr>
          <w:b/>
          <w:bCs/>
          <w:color w:val="000000"/>
        </w:rPr>
        <w:t xml:space="preserve">El plazo de entrega es </w:t>
      </w:r>
      <w:r w:rsidR="00762C2E" w:rsidRPr="00762C2E">
        <w:t>hasta 10 días desde la notificación de la orden de compra</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debe ser del cinco porciento (5 %) del valor total del monto cotizado (o monto estimado en caso de licitaciones de etapa múltiple). La no presentación de esta garantía conjuntamente con la oferta dará lugar a la inadmisibilidad de la oferta. En caso de resultar adjudicada, esta garantía se mantendrá vigente hasta la constitución de la de cumplimiento del contrato.</w:t>
      </w:r>
      <w:r>
        <w:br/>
      </w:r>
      <w:r>
        <w:rPr>
          <w:b/>
          <w:bCs/>
          <w:color w:val="000000"/>
        </w:rPr>
        <w:t xml:space="preserve">Garantía de cumplimiento del contrato: </w:t>
      </w:r>
      <w:r>
        <w:rPr>
          <w:color w:val="000000"/>
        </w:rPr>
        <w:t>será igual o superior al diez porciento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cumplido,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 De la recepción de la orden de compra, deberá quedar constancia en las actuaciones.</w:t>
      </w:r>
      <w:r>
        <w:br/>
      </w:r>
      <w:r>
        <w:rPr>
          <w:color w:val="000000"/>
        </w:rPr>
        <w:lastRenderedPageBreak/>
        <w:t>Superado el plazo de treinta (30) días corridos, podrá perfeccionarse igualmente el contrato, pero se requerirá nueva conformidad del cocontratante y la consecuente renovación de la garantía de mantenimiento de oferta, en caso de corresponder.</w:t>
      </w:r>
      <w:r>
        <w:br/>
      </w:r>
      <w:r>
        <w:rPr>
          <w:color w:val="000000"/>
        </w:rPr>
        <w:t>Dentro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CONTRATO</w:t>
      </w:r>
      <w:r>
        <w:br/>
      </w:r>
      <w:r>
        <w:rPr>
          <w:color w:val="000000"/>
        </w:rPr>
        <w:t>Conforme los lineamientos establecidos en el Art. 26 del Pliego de Bases y Condiciones Generales para la Contratación de Bienes y Servicios, aprobado por Resolución RESOL-2019-76- GDEBA-CGP de la Contaduría General de la Provincia, y el artÍculo 7 “FACULTADES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cocontratante.</w:t>
      </w:r>
      <w:r>
        <w:br/>
      </w:r>
      <w:r>
        <w:rPr>
          <w:b/>
          <w:bCs/>
          <w:color w:val="000000"/>
        </w:rPr>
        <w:t>Las causales por las cuales se puede 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condiciones y los precios unitarios.</w:t>
      </w:r>
      <w:r>
        <w:br/>
      </w:r>
      <w:r>
        <w:rPr>
          <w:color w:val="000000"/>
        </w:rPr>
        <w:t>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conformidad del cocontratante, este deberá manifestarla dentro del plazo de cinco (5) días corridos de notificada la solicitud. Vencido dicho plazo sin que medie respuesta, se entenderá que el requerimiento no ha sido aceptado, lo que no generará al proveedor 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br/>
      </w:r>
      <w:r>
        <w:rPr>
          <w:color w:val="000000"/>
        </w:rPr>
        <w:t>Para establecer la competencia del órgano que establezca una ampliación o disminución global superior al veinte por ciento (20%), se tomará en consideración el monto total resultante del ejercicio de 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 que dictó el acto administrativo de adjudicación de la contratación original.</w:t>
      </w:r>
      <w:r>
        <w:br/>
      </w:r>
      <w:r>
        <w:rPr>
          <w:color w:val="000000"/>
        </w:rPr>
        <w:t xml:space="preserve">Asimismo, en caso de necesidad, el contrato podrá prorrogarse en los términos del artículo 7 “FACULTADES Y OBLIGACIONES DE LA AUTORIDAD ADMINISTRATIVA.” inc. f) “FACULTAD DE </w:t>
      </w:r>
      <w:r>
        <w:rPr>
          <w:color w:val="000000"/>
        </w:rPr>
        <w:lastRenderedPageBreak/>
        <w:t>PRORROGAR”.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proveedor se constatará mediante certificación de la dependencia a cargo de la recepción de los bienes oservicios,que se agregará a las actuaciones, pudiendo dictarse sin más trámite el acto administrativo que disponga la rescisión de la contratación por culpa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 se intimará al proveedor a que regularice dicha situación en un plazo perentorio de 24 hs, bajo apercibimiento de rescisión.</w:t>
      </w:r>
      <w:r>
        <w:br/>
      </w:r>
      <w:r>
        <w:rPr>
          <w:color w:val="000000"/>
        </w:rPr>
        <w:t>Ante la falta de respuesta o en caso que el proveedor no regularice el incumplimiento en dicho término, podrá dictarse el acto administrativo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proponentes, preadjudicatarios o adjudicatarios, dará lugar a la aplicación de las penalidades que a continuación se indican:</w:t>
      </w:r>
      <w:r>
        <w:br/>
      </w:r>
      <w:r>
        <w:br/>
      </w:r>
      <w:r>
        <w:rPr>
          <w:color w:val="000000"/>
        </w:rPr>
        <w:t>OFERENTES: Por desistimiento parcial o total de la oferta fuera de los casos en que se encuentra permitido: pérdida proporcional de la 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w:t>
      </w:r>
      <w:proofErr w:type="gramStart"/>
      <w:r>
        <w:rPr>
          <w:color w:val="000000"/>
        </w:rPr>
        <w:t>tres porciento</w:t>
      </w:r>
      <w:proofErr w:type="gramEnd"/>
      <w:r>
        <w:rPr>
          <w:color w:val="000000"/>
        </w:rPr>
        <w:t xml:space="preserve">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lastRenderedPageBreak/>
        <w:t xml:space="preserve">c) </w:t>
      </w:r>
      <w:r>
        <w:rPr>
          <w:b/>
          <w:bCs/>
          <w:color w:val="000000"/>
        </w:rPr>
        <w:t xml:space="preserve">Por incumplimiento en una provisión periódica: </w:t>
      </w:r>
      <w:r>
        <w:rPr>
          <w:color w:val="000000"/>
        </w:rPr>
        <w:t>multa del cinco porciento (5%) sobre el importe de lo que dejara de proveer y diferencia de precio por la provisión por un tercero, calculada de acuerdo a lo establecido en el punto anterior. La reincidencia en el período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1.- El proveedor a quien se le rescinda totalmente un contrato por causas que le fueren imputables, cuando el monto de dicho contrato supere la suma 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primera y hasta el momento de dictarse el acto administrativo sancionatorio por el que correspondería la aplicación de la tercera; en estos casos, la tercera suspensión será convertida en eliminación del Registro.</w:t>
      </w:r>
      <w:r>
        <w:br/>
      </w:r>
      <w:r>
        <w:rPr>
          <w:color w:val="000000"/>
        </w:rPr>
        <w:t xml:space="preserve">La Contaduría General de la Provincia, por sí o por comunicación de las Autoridades Administrativas o dependencia que haga sus veces, al tomar conocimiento de los hechos que puedan dar lugar a las </w:t>
      </w:r>
      <w:r>
        <w:rPr>
          <w:color w:val="000000"/>
        </w:rPr>
        <w:lastRenderedPageBreak/>
        <w:t>sanciones previstas en los incisos previos de este apartado, encuadrará la conducta del proveedor en base a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t>Cuando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Jurada de Cargas Sociales (Formulario 931) vencida al momento de presentación de la factura y constancia de su pago;</w:t>
      </w:r>
      <w:r>
        <w:br/>
      </w:r>
      <w:r>
        <w:rPr>
          <w:color w:val="000000"/>
        </w:rPr>
        <w:lastRenderedPageBreak/>
        <w:t>i) Certificado de deudores alimentarios morosos de los responsables de la empresa;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los remitos se deberá aclarar a que N°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Salvo norma específica en contrario, los pagos se efectivizarán, cualquiera fuere la fuente de financiamiento, mediante pago electrónico a través de interdepósitos o transferencias bancarias sobre la cuenta en moneda nacional que los proveedores deberán tener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se devengarán intereses por pago fuera de término, a la tasa de interés promedio que pague el Banco de la Provincia de Buenos Aires en operaciones a treinta (30) días, que se calcularán entre el día siguiente al vencimiento y hasta la puesta a disposición de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el perjuicio fiscal ocasionado en el pago de intereses moratorios.</w:t>
      </w:r>
    </w:p>
    <w:p w14:paraId="69D1FCD2" w14:textId="37DCE2A0" w:rsidR="005C2237" w:rsidRDefault="005C2237">
      <w:pPr>
        <w:rPr>
          <w:color w:val="000000"/>
        </w:rPr>
      </w:pPr>
    </w:p>
    <w:p w14:paraId="2FEEE1E7" w14:textId="05E1603C" w:rsidR="005C2237" w:rsidRDefault="005C2237">
      <w:r w:rsidRPr="005C2237">
        <w:rPr>
          <w:u w:val="single"/>
        </w:rPr>
        <w:t>Observaciones</w:t>
      </w:r>
      <w:r>
        <w:t xml:space="preserve">: El vencimiento no deberá ser inferior a 18 meses. En los remitos deberán constar vencimiento y lote. No se </w:t>
      </w:r>
      <w:r>
        <w:t>aceptará</w:t>
      </w:r>
      <w:r>
        <w:t xml:space="preserve"> nota de cambio por vencimientos inferiores a lo solicitados, ni por marca adjudicada. Se solicitan muestras de todos los renglones.</w:t>
      </w:r>
    </w:p>
    <w:sectPr w:rsidR="005C2237">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AFF"/>
    <w:rsid w:val="00466DE5"/>
    <w:rsid w:val="005C2237"/>
    <w:rsid w:val="006C5AAC"/>
    <w:rsid w:val="00762C2E"/>
    <w:rsid w:val="00DB4AF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F2160"/>
  <w15:docId w15:val="{3D551FB8-D409-4E1D-9F82-26E2D0701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7042</Words>
  <Characters>38736</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De Pablo</dc:creator>
  <cp:keywords/>
  <dc:description/>
  <cp:lastModifiedBy>Patricia De Pablo</cp:lastModifiedBy>
  <cp:revision>3</cp:revision>
  <dcterms:created xsi:type="dcterms:W3CDTF">2026-10-09T13:12:00Z</dcterms:created>
  <dcterms:modified xsi:type="dcterms:W3CDTF">2026-10-09T13:52:00Z</dcterms:modified>
  <cp:category/>
</cp:coreProperties>
</file>